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46"/>
        <w:rPr>
          <w:rFonts w:ascii="Trebuchet MS" w:hAnsi="Trebuchet MS"/>
          <w:lang w:val="ro-RO"/>
        </w:rPr>
      </w:pPr>
      <w:r>
        <w:rPr>
          <w:rFonts w:ascii="Trebuchet MS" w:hAnsi="Trebuchet MS"/>
          <w:lang w:val="ro-RO"/>
        </w:rPr>
      </w:r>
      <w:bookmarkStart w:id="0" w:name="_GoBack"/>
      <w:bookmarkStart w:id="1" w:name="_GoBack"/>
      <w:bookmarkEnd w:id="1"/>
    </w:p>
    <w:p>
      <w:pPr>
        <w:pStyle w:val="Normal"/>
        <w:spacing w:before="0" w:after="0"/>
        <w:ind w:left="3402"/>
        <w:jc w:val="center"/>
        <w:rPr>
          <w:rFonts w:ascii="Trebuchet MS" w:hAnsi="Trebuchet MS"/>
          <w:b/>
          <w:lang w:val="ro-RO"/>
        </w:rPr>
      </w:pPr>
      <w:r>
        <w:rPr>
          <w:rFonts w:ascii="Trebuchet MS" w:hAnsi="Trebuchet MS"/>
          <w:b/>
          <w:lang w:val="ro-RO"/>
        </w:rPr>
      </w:r>
    </w:p>
    <w:p>
      <w:pPr>
        <w:pStyle w:val="Normal"/>
        <w:rPr>
          <w:rFonts w:ascii="Trebuchet MS" w:hAnsi="Trebuchet MS"/>
          <w:lang w:val="ro-RO"/>
        </w:rPr>
      </w:pPr>
      <w:r>
        <w:rPr>
          <w:rFonts w:ascii="Trebuchet MS" w:hAnsi="Trebuchet MS"/>
          <w:lang w:val="ro-RO"/>
        </w:rPr>
      </w:r>
    </w:p>
    <w:p>
      <w:pPr>
        <w:pStyle w:val="Normal"/>
        <w:jc w:val="center"/>
        <w:rPr>
          <w:rFonts w:ascii="Trebuchet MS" w:hAnsi="Trebuchet MS"/>
          <w:b/>
          <w:lang w:val="ro-RO"/>
        </w:rPr>
      </w:pPr>
      <w:r>
        <w:rPr>
          <w:rFonts w:ascii="Trebuchet MS" w:hAnsi="Trebuchet MS"/>
          <w:b/>
          <w:lang w:val="ro-RO"/>
        </w:rPr>
        <w:t>REFERAT</w:t>
      </w:r>
    </w:p>
    <w:p>
      <w:pPr>
        <w:pStyle w:val="Normal"/>
        <w:jc w:val="both"/>
        <w:rPr>
          <w:rFonts w:ascii="Trebuchet MS" w:hAnsi="Trebuchet MS"/>
          <w:b/>
          <w:lang w:val="ro-RO"/>
        </w:rPr>
      </w:pPr>
      <w:r>
        <w:rPr>
          <w:rFonts w:ascii="Trebuchet MS" w:hAnsi="Trebuchet MS"/>
          <w:b/>
          <w:lang w:val="ro-RO"/>
        </w:rPr>
        <w:t>De aprobare a proiectului de ordin al președintelui A.N.A.F. pentru aprobarea Procedurii privind modalitatea de ducere la îndeplinire a atribuțiilor Agenției Naționale de Administrare Fiscală în domeniul sancțiunilor internaționale, în conformitate cu prevederile prevăzute de Ordonanța de urgență a Guvernului nr.202/2008, cu modificările şi completările ulterioare</w:t>
      </w:r>
    </w:p>
    <w:p>
      <w:pPr>
        <w:pStyle w:val="Normal"/>
        <w:spacing w:before="0" w:after="0"/>
        <w:jc w:val="both"/>
        <w:rPr>
          <w:rFonts w:ascii="Trebuchet MS" w:hAnsi="Trebuchet MS"/>
          <w:bCs/>
          <w:lang w:val="ro-RO"/>
        </w:rPr>
      </w:pPr>
      <w:r>
        <w:rPr>
          <w:rFonts w:ascii="Trebuchet MS" w:hAnsi="Trebuchet MS"/>
          <w:bCs/>
          <w:lang w:val="ro-RO"/>
        </w:rPr>
      </w:r>
    </w:p>
    <w:p>
      <w:pPr>
        <w:pStyle w:val="Normal"/>
        <w:spacing w:before="0" w:after="0"/>
        <w:jc w:val="both"/>
        <w:rPr>
          <w:rFonts w:ascii="Trebuchet MS" w:hAnsi="Trebuchet MS"/>
          <w:bCs/>
          <w:lang w:val="ro-RO"/>
        </w:rPr>
      </w:pPr>
      <w:r>
        <w:rPr>
          <w:rFonts w:ascii="Trebuchet MS" w:hAnsi="Trebuchet MS"/>
          <w:bCs/>
          <w:lang w:val="ro-RO"/>
        </w:rPr>
        <w:t>În vederea armonizării și punerii în conformitate a  legislației</w:t>
      </w:r>
      <w:r>
        <w:rPr>
          <w:rFonts w:eastAsia="Calibri" w:cs="Arial" w:ascii="Trebuchet MS" w:hAnsi="Trebuchet MS"/>
        </w:rPr>
        <w:t xml:space="preserve"> </w:t>
      </w:r>
      <w:r>
        <w:rPr>
          <w:rFonts w:ascii="Trebuchet MS" w:hAnsi="Trebuchet MS"/>
          <w:bCs/>
          <w:lang w:val="ro-RO"/>
        </w:rPr>
        <w:t>ce asigură cadrul juridic general de aplicare în România a sancțiunilor internaționale instituite prin rezoluții ale Consiliului de Securitate al ONU, precum și a măsurilor restrictive autonome ale Uniunii Europene stabilite prin actele comunitare adoptate în cadrul Politicii Externe și de Securitate Externă, prin prisma factorilor care modelează actualul context geopolitic, a fost adoptată Ordonanța de urgență a Guvernului nr.202/2008, cu modificările şi completările ulterioare, privind punerea în aplicare a sancțiunilor internaționale, modificată prin Ordonanța de urgență a Guvernului nr.135/2024.</w:t>
      </w:r>
    </w:p>
    <w:p>
      <w:pPr>
        <w:pStyle w:val="Normal"/>
        <w:spacing w:before="0" w:after="0"/>
        <w:jc w:val="both"/>
        <w:rPr>
          <w:rFonts w:ascii="Trebuchet MS" w:hAnsi="Trebuchet MS"/>
          <w:bCs/>
          <w:lang w:val="ro-RO"/>
        </w:rPr>
      </w:pPr>
      <w:r>
        <w:rPr>
          <w:rFonts w:ascii="Trebuchet MS" w:hAnsi="Trebuchet MS"/>
          <w:bCs/>
          <w:lang w:val="ro-RO"/>
        </w:rPr>
      </w:r>
    </w:p>
    <w:p>
      <w:pPr>
        <w:pStyle w:val="Normal"/>
        <w:jc w:val="both"/>
        <w:rPr>
          <w:rFonts w:ascii="Trebuchet MS" w:hAnsi="Trebuchet MS"/>
          <w:bCs/>
          <w:lang w:val="ro-RO"/>
        </w:rPr>
      </w:pPr>
      <w:r>
        <w:rPr>
          <w:rFonts w:ascii="Trebuchet MS" w:hAnsi="Trebuchet MS"/>
          <w:bCs/>
          <w:lang w:val="ro-RO"/>
        </w:rPr>
        <w:t>În contextul dinamicii din sfera internațională și a eficientizării punerii în aplicare a sancțiunilor internaționale la nivelul Agenţiei Naţionale de Administrare Fiscală, ca urmare a modificărilor legislative introduse prin Ordonanța de urgență a Guvernului nr.202/2008, cu modificările şi completările ulterioare, modificată prin Ordonanța de urgență a Guvernului nr.135/2024, se impune actualizarea prevederilor procedurale utilizate în prezent pentru a fi în concordanță cu prevederile legale.</w:t>
      </w:r>
    </w:p>
    <w:p>
      <w:pPr>
        <w:pStyle w:val="Normal"/>
        <w:jc w:val="both"/>
        <w:rPr>
          <w:rFonts w:ascii="Trebuchet MS" w:hAnsi="Trebuchet MS"/>
          <w:bCs/>
          <w:lang w:val="ro-RO"/>
        </w:rPr>
      </w:pPr>
      <w:r>
        <w:rPr>
          <w:rFonts w:ascii="Trebuchet MS" w:hAnsi="Trebuchet MS"/>
          <w:bCs/>
          <w:lang w:val="ro-RO"/>
        </w:rPr>
        <w:t>Noutățile aduse prin prevederile Ordonanței de urgență a Guvernului nr.202/2008, cu modificările şi completările ulterioare, se referă la următoarele aspecte:</w:t>
      </w:r>
    </w:p>
    <w:p>
      <w:pPr>
        <w:pStyle w:val="Normal"/>
        <w:spacing w:before="0" w:after="0"/>
        <w:jc w:val="both"/>
        <w:rPr>
          <w:rFonts w:ascii="Trebuchet MS" w:hAnsi="Trebuchet MS"/>
          <w:lang w:val="ro-RO"/>
        </w:rPr>
      </w:pPr>
      <w:r>
        <w:rPr>
          <w:rFonts w:ascii="Trebuchet MS" w:hAnsi="Trebuchet MS"/>
          <w:bCs/>
          <w:lang w:val="ro-RO"/>
        </w:rPr>
        <w:t>1.-</w:t>
      </w:r>
      <w:r>
        <w:rPr>
          <w:rFonts w:ascii="Trebuchet MS" w:hAnsi="Trebuchet MS"/>
          <w:lang w:val="ro-RO"/>
        </w:rPr>
        <w:t xml:space="preserve"> soluționarea cererilor </w:t>
      </w:r>
      <w:r>
        <w:rPr>
          <w:rFonts w:ascii="Trebuchet MS" w:hAnsi="Trebuchet MS"/>
          <w:bCs/>
          <w:lang w:val="ro-RO"/>
        </w:rPr>
        <w:t xml:space="preserve">de </w:t>
      </w:r>
      <w:r>
        <w:rPr>
          <w:rFonts w:ascii="Trebuchet MS" w:hAnsi="Trebuchet MS"/>
          <w:lang w:val="ro-RO"/>
        </w:rPr>
        <w:t>autorizare în vederea derogării de la aplicarea sancţiunilor internaţionale.</w:t>
      </w:r>
    </w:p>
    <w:p>
      <w:pPr>
        <w:pStyle w:val="Normal"/>
        <w:spacing w:before="0" w:after="0"/>
        <w:jc w:val="both"/>
        <w:rPr>
          <w:rFonts w:ascii="Trebuchet MS" w:hAnsi="Trebuchet MS"/>
          <w:bCs/>
          <w:lang w:val="ro-RO"/>
        </w:rPr>
      </w:pPr>
      <w:r>
        <w:rPr>
          <w:rFonts w:ascii="Trebuchet MS" w:hAnsi="Trebuchet MS"/>
          <w:bCs/>
          <w:lang w:val="ro-RO"/>
        </w:rPr>
      </w:r>
    </w:p>
    <w:p>
      <w:pPr>
        <w:pStyle w:val="Normal"/>
        <w:spacing w:lineRule="auto" w:line="264" w:before="80" w:after="0"/>
        <w:jc w:val="both"/>
        <w:rPr>
          <w:rFonts w:ascii="Trebuchet MS" w:hAnsi="Trebuchet MS"/>
          <w:lang w:val="ro-RO"/>
        </w:rPr>
      </w:pPr>
      <w:r>
        <w:rPr>
          <w:rFonts w:ascii="Trebuchet MS" w:hAnsi="Trebuchet MS"/>
          <w:lang w:val="ro-RO"/>
        </w:rPr>
        <w:t xml:space="preserve">Agenția Națională de Administrare Fiscală este autoritatea națională competentă prevăzută la art.12 alin.(1) litera p) din </w:t>
      </w:r>
      <w:r>
        <w:rPr>
          <w:rFonts w:ascii="Trebuchet MS" w:hAnsi="Trebuchet MS"/>
          <w:bCs/>
          <w:lang w:val="ro-RO"/>
        </w:rPr>
        <w:t>Ordonanța de urgență a Guvernului nr.202/2008, cu modificările şi completările ulterioare</w:t>
      </w:r>
      <w:r>
        <w:rPr>
          <w:rFonts w:ascii="Trebuchet MS" w:hAnsi="Trebuchet MS"/>
          <w:lang w:val="ro-RO"/>
        </w:rPr>
        <w:t>, în sensul prerogativelor instituite prin prevederile art.8 alin.(6) din OUG nr.202/2008, respectiv pentru:</w:t>
      </w:r>
    </w:p>
    <w:p>
      <w:pPr>
        <w:pStyle w:val="ListParagraph"/>
        <w:numPr>
          <w:ilvl w:val="0"/>
          <w:numId w:val="1"/>
        </w:numPr>
        <w:spacing w:lineRule="auto" w:line="264" w:before="80" w:after="0"/>
        <w:contextualSpacing/>
        <w:jc w:val="both"/>
        <w:rPr>
          <w:rFonts w:ascii="Trebuchet MS" w:hAnsi="Trebuchet MS"/>
          <w:lang w:val="ro-RO"/>
        </w:rPr>
      </w:pPr>
      <w:r>
        <w:rPr>
          <w:rFonts w:ascii="Trebuchet MS" w:hAnsi="Trebuchet MS"/>
          <w:lang w:val="ro-RO"/>
        </w:rPr>
        <w:t xml:space="preserve">soluționarea cererilor de derogare de la aplicarea sancțiunilor internaționale privind înghețarea fondurilor și de la interdicția de a pune la dispoziție fonduri, cu respectarea condițiilor stabilite de actul prevăzut la art.1 alin. (1) sau de actul normativ prevăzut la art.4 alin. (4) din OUG 202/2008; </w:t>
      </w:r>
    </w:p>
    <w:p>
      <w:pPr>
        <w:pStyle w:val="ListParagraph"/>
        <w:numPr>
          <w:ilvl w:val="0"/>
          <w:numId w:val="1"/>
        </w:numPr>
        <w:spacing w:lineRule="auto" w:line="264" w:before="80" w:after="0"/>
        <w:contextualSpacing/>
        <w:jc w:val="both"/>
        <w:rPr>
          <w:rFonts w:ascii="Trebuchet MS" w:hAnsi="Trebuchet MS"/>
          <w:lang w:val="ro-RO"/>
        </w:rPr>
      </w:pPr>
      <w:r>
        <w:rPr>
          <w:rFonts w:ascii="Trebuchet MS" w:hAnsi="Trebuchet MS"/>
          <w:lang w:val="ro-RO"/>
        </w:rPr>
        <w:t>autorizarea cererilor adresate de către instituții financiare și instituții de credit privind sancțiunile internaționale sectoriale specifice sectorului financiar.</w:t>
      </w:r>
    </w:p>
    <w:p>
      <w:pPr>
        <w:pStyle w:val="Normal"/>
        <w:spacing w:before="0" w:after="0"/>
        <w:jc w:val="both"/>
        <w:rPr>
          <w:rFonts w:ascii="Trebuchet MS" w:hAnsi="Trebuchet MS"/>
          <w:color w:val="3C3C3C"/>
          <w:shd w:fill="FFFFFF" w:val="clear"/>
        </w:rPr>
      </w:pPr>
      <w:r>
        <w:rPr>
          <w:rFonts w:ascii="Trebuchet MS" w:hAnsi="Trebuchet MS"/>
          <w:color w:val="3C3C3C"/>
          <w:shd w:fill="FFFFFF" w:val="clear"/>
        </w:rPr>
      </w:r>
    </w:p>
    <w:p>
      <w:pPr>
        <w:pStyle w:val="Scapden"/>
        <w:ind w:hanging="45"/>
        <w:jc w:val="both"/>
        <w:rPr>
          <w:rFonts w:ascii="Trebuchet MS" w:hAnsi="Trebuchet MS" w:eastAsia="Calibri" w:cs="宋体" w:cstheme="minorBidi" w:eastAsiaTheme="minorHAnsi"/>
          <w:b w:val="false"/>
          <w:color w:val="auto"/>
          <w:sz w:val="22"/>
          <w:szCs w:val="22"/>
          <w:lang w:val="ro-RO"/>
        </w:rPr>
      </w:pPr>
      <w:r>
        <w:rPr>
          <w:rFonts w:eastAsia="Calibri" w:cs="宋体" w:ascii="Trebuchet MS" w:hAnsi="Trebuchet MS" w:cstheme="minorBidi" w:eastAsiaTheme="minorHAnsi"/>
          <w:b w:val="false"/>
          <w:color w:val="auto"/>
          <w:sz w:val="22"/>
          <w:szCs w:val="22"/>
          <w:lang w:val="ro-RO"/>
        </w:rPr>
        <w:t xml:space="preserve">2.-monitorizarea, publicitatea şi comunicarea actelor prin care se instituie sancţiuni internaţionale; </w:t>
      </w:r>
    </w:p>
    <w:p>
      <w:pPr>
        <w:pStyle w:val="Normal"/>
        <w:spacing w:before="0" w:after="0"/>
        <w:jc w:val="both"/>
        <w:rPr>
          <w:rFonts w:ascii="Trebuchet MS" w:hAnsi="Trebuchet MS"/>
          <w:bCs/>
          <w:lang w:val="ro-RO"/>
        </w:rPr>
      </w:pPr>
      <w:r>
        <w:rPr>
          <w:rFonts w:ascii="Trebuchet MS" w:hAnsi="Trebuchet MS"/>
          <w:bCs/>
          <w:lang w:val="ro-RO"/>
        </w:rPr>
        <w:t>În aces sens, s-a actualizat modalitatea de punere în aplicare, la nivel naţional, a sancţiunilor internaţionale instituite prin:</w:t>
      </w:r>
    </w:p>
    <w:p>
      <w:pPr>
        <w:pStyle w:val="Normal"/>
        <w:spacing w:before="0" w:after="0"/>
        <w:jc w:val="both"/>
        <w:rPr>
          <w:rFonts w:ascii="Trebuchet MS" w:hAnsi="Trebuchet MS"/>
          <w:bCs/>
          <w:lang w:val="ro-RO"/>
        </w:rPr>
      </w:pPr>
      <w:r>
        <w:rPr>
          <w:rFonts w:ascii="Trebuchet MS" w:hAnsi="Trebuchet MS"/>
          <w:bCs/>
          <w:lang w:val="ro-RO"/>
        </w:rPr>
        <w:t>a) rezoluţiile Consiliului de Securitate al Organizaţiei Naţiunilor Unite sau alte acte adoptate în baza art. 41 din Carta Naţiunilor Unite;</w:t>
      </w:r>
    </w:p>
    <w:p>
      <w:pPr>
        <w:pStyle w:val="Normal"/>
        <w:spacing w:before="0" w:after="0"/>
        <w:jc w:val="both"/>
        <w:rPr>
          <w:rFonts w:ascii="Trebuchet MS" w:hAnsi="Trebuchet MS"/>
          <w:bCs/>
          <w:lang w:val="ro-RO"/>
        </w:rPr>
      </w:pPr>
      <w:r>
        <w:rPr>
          <w:rFonts w:ascii="Trebuchet MS" w:hAnsi="Trebuchet MS"/>
          <w:bCs/>
          <w:lang w:val="ro-RO"/>
        </w:rPr>
        <w:t>b) regulamente, decizii şi alte instrumente juridice ale Uniunii Europene.</w:t>
      </w:r>
    </w:p>
    <w:p>
      <w:pPr>
        <w:pStyle w:val="Normal"/>
        <w:spacing w:before="0" w:after="0"/>
        <w:jc w:val="both"/>
        <w:rPr>
          <w:rFonts w:ascii="Trebuchet MS" w:hAnsi="Trebuchet MS"/>
          <w:bCs/>
          <w:lang w:val="ro-RO"/>
        </w:rPr>
      </w:pPr>
      <w:r>
        <w:rPr>
          <w:rFonts w:ascii="Trebuchet MS" w:hAnsi="Trebuchet MS"/>
          <w:bCs/>
          <w:lang w:val="ro-RO"/>
        </w:rPr>
        <w:t>Pentru a fi în concordanță cu terminologia specifică care să corespundă cadrului legislativ european, aceasta nu mai cuprinde referiri la poziții și acțiuni comune.</w:t>
      </w:r>
    </w:p>
    <w:p>
      <w:pPr>
        <w:pStyle w:val="Normal"/>
        <w:spacing w:before="0" w:after="0"/>
        <w:jc w:val="both"/>
        <w:rPr>
          <w:rFonts w:ascii="Trebuchet MS" w:hAnsi="Trebuchet MS"/>
          <w:bCs/>
          <w:lang w:val="ro-RO"/>
        </w:rPr>
      </w:pPr>
      <w:r>
        <w:rPr>
          <w:rFonts w:ascii="Trebuchet MS" w:hAnsi="Trebuchet MS"/>
          <w:bCs/>
          <w:lang w:val="ro-RO"/>
        </w:rPr>
      </w:r>
    </w:p>
    <w:p>
      <w:pPr>
        <w:pStyle w:val="Normal"/>
        <w:jc w:val="both"/>
        <w:rPr>
          <w:rFonts w:ascii="Trebuchet MS" w:hAnsi="Trebuchet MS"/>
          <w:bCs/>
          <w:lang w:val="ro-RO"/>
        </w:rPr>
      </w:pPr>
      <w:r>
        <w:rPr>
          <w:rFonts w:ascii="Trebuchet MS" w:hAnsi="Trebuchet MS"/>
          <w:bCs/>
          <w:lang w:val="ro-RO"/>
        </w:rPr>
        <w:t>3.-informații privind obligația de înştiinţare privind persoane sau entităţi desemnate, în domeniul propriu de competență al Agenției Naționale de Administrare Fiscală privind sancțiunile internaționale, referitoare la înștiințări, comunicarea înștiințărilor privind persoane sau entități desemnate, identificarea persoanelor sau entităţilor desemnate, transmiterea solicitărilor</w:t>
      </w:r>
      <w:r>
        <w:rPr>
          <w:rFonts w:ascii="Trebuchet MS" w:hAnsi="Trebuchet MS"/>
          <w:lang w:val="ro-RO"/>
        </w:rPr>
        <w:t>, măsurile întreprinse de structurile implicate în acest proces, precum și analiza informațiilor obținute</w:t>
      </w:r>
      <w:r>
        <w:rPr>
          <w:rFonts w:ascii="Trebuchet MS" w:hAnsi="Trebuchet MS"/>
          <w:bCs/>
          <w:lang w:val="ro-RO"/>
        </w:rPr>
        <w:t>;</w:t>
      </w:r>
    </w:p>
    <w:p>
      <w:pPr>
        <w:pStyle w:val="Normal"/>
        <w:spacing w:before="0" w:after="0"/>
        <w:jc w:val="both"/>
        <w:rPr>
          <w:rFonts w:ascii="Trebuchet MS" w:hAnsi="Trebuchet MS"/>
          <w:bCs/>
          <w:lang w:val="ro-RO"/>
        </w:rPr>
      </w:pPr>
      <w:r>
        <w:rPr>
          <w:rFonts w:ascii="Trebuchet MS" w:hAnsi="Trebuchet MS"/>
          <w:bCs/>
          <w:lang w:val="ro-RO"/>
        </w:rPr>
        <w:t>4.-informațiile privind administrarea bunurilor cărora li se aplică sancțiunile internaționale în conformitate cu art.24 și art.25 din O.U.G nr.202/2008, cu modificările şi completările ulterioare, în ceea ce privește modul de administrare a bunurilor și obligațiile custodelui;</w:t>
      </w:r>
    </w:p>
    <w:p>
      <w:pPr>
        <w:pStyle w:val="Normal"/>
        <w:spacing w:before="0" w:after="0"/>
        <w:jc w:val="both"/>
        <w:rPr>
          <w:rFonts w:ascii="Trebuchet MS" w:hAnsi="Trebuchet MS"/>
          <w:bCs/>
          <w:lang w:val="ro-RO"/>
        </w:rPr>
      </w:pPr>
      <w:r>
        <w:rPr>
          <w:rFonts w:ascii="Trebuchet MS" w:hAnsi="Trebuchet MS"/>
          <w:bCs/>
          <w:lang w:val="ro-RO"/>
        </w:rPr>
      </w:r>
    </w:p>
    <w:p>
      <w:pPr>
        <w:pStyle w:val="Spar"/>
        <w:ind w:left="0"/>
        <w:jc w:val="both"/>
        <w:rPr>
          <w:rFonts w:ascii="Trebuchet MS" w:hAnsi="Trebuchet MS" w:eastAsia="Calibri" w:cs="宋体" w:cstheme="minorBidi" w:eastAsiaTheme="minorHAnsi"/>
          <w:bCs/>
          <w:sz w:val="22"/>
          <w:szCs w:val="22"/>
          <w:lang w:val="ro-RO"/>
        </w:rPr>
      </w:pPr>
      <w:r>
        <w:rPr>
          <w:rFonts w:eastAsia="Calibri" w:cs="宋体" w:ascii="Trebuchet MS" w:hAnsi="Trebuchet MS" w:cstheme="minorBidi" w:eastAsiaTheme="minorHAnsi"/>
          <w:bCs/>
          <w:sz w:val="22"/>
          <w:szCs w:val="22"/>
          <w:lang w:val="ro-RO"/>
        </w:rPr>
        <w:t>5.-cadrul normativ relevant privind activitatea și atribuțiile Comisiei permanente constituită la nivelul Agenţiei Naţionale de Administrare Fiscală;</w:t>
      </w:r>
    </w:p>
    <w:p>
      <w:pPr>
        <w:pStyle w:val="Scapden"/>
        <w:jc w:val="both"/>
        <w:rPr>
          <w:rFonts w:ascii="Trebuchet MS" w:hAnsi="Trebuchet MS" w:eastAsia="Calibri" w:cs="宋体" w:cstheme="minorBidi" w:eastAsiaTheme="minorHAnsi"/>
          <w:b w:val="false"/>
          <w:color w:val="auto"/>
          <w:sz w:val="22"/>
          <w:szCs w:val="22"/>
          <w:lang w:val="ro-RO"/>
        </w:rPr>
      </w:pPr>
      <w:r>
        <w:rPr>
          <w:rFonts w:eastAsia="Calibri" w:cs="宋体" w:ascii="Trebuchet MS" w:hAnsi="Trebuchet MS" w:cstheme="minorBidi" w:eastAsiaTheme="minorHAnsi"/>
          <w:b w:val="false"/>
          <w:color w:val="auto"/>
          <w:sz w:val="22"/>
          <w:szCs w:val="22"/>
          <w:lang w:val="ro-RO"/>
        </w:rPr>
        <w:t>6.–informațiile privind soluţionarea și analiza contestaţiilor formulate în contextul modificărilor legislative;</w:t>
      </w:r>
    </w:p>
    <w:p>
      <w:pPr>
        <w:pStyle w:val="Normal"/>
        <w:spacing w:before="0" w:after="0"/>
        <w:jc w:val="both"/>
        <w:rPr>
          <w:rFonts w:ascii="Trebuchet MS" w:hAnsi="Trebuchet MS"/>
          <w:bCs/>
          <w:lang w:val="ro-RO"/>
        </w:rPr>
      </w:pPr>
      <w:r>
        <w:rPr>
          <w:rFonts w:ascii="Trebuchet MS" w:hAnsi="Trebuchet MS"/>
          <w:bCs/>
          <w:lang w:val="ro-RO"/>
        </w:rPr>
        <w:t xml:space="preserve">7.-aplicarea contravențiilor în domeniul propriu de competenţă al Agenţiei Naţionale de Administrare Fiscală privind sancțiunile internaționale; </w:t>
      </w:r>
    </w:p>
    <w:p>
      <w:pPr>
        <w:pStyle w:val="Normal"/>
        <w:spacing w:before="0" w:after="0"/>
        <w:jc w:val="both"/>
        <w:rPr>
          <w:rFonts w:ascii="Trebuchet MS" w:hAnsi="Trebuchet MS"/>
          <w:bCs/>
          <w:lang w:val="ro-RO"/>
        </w:rPr>
      </w:pPr>
      <w:r>
        <w:rPr>
          <w:rFonts w:ascii="Trebuchet MS" w:hAnsi="Trebuchet MS"/>
          <w:bCs/>
          <w:lang w:val="ro-RO"/>
        </w:rPr>
      </w:r>
    </w:p>
    <w:p>
      <w:pPr>
        <w:pStyle w:val="Normal"/>
        <w:spacing w:before="0" w:after="0"/>
        <w:jc w:val="both"/>
        <w:rPr>
          <w:rFonts w:ascii="Trebuchet MS" w:hAnsi="Trebuchet MS"/>
          <w:bCs/>
          <w:lang w:val="ro-RO"/>
        </w:rPr>
      </w:pPr>
      <w:r>
        <w:rPr>
          <w:rFonts w:ascii="Trebuchet MS" w:hAnsi="Trebuchet MS"/>
          <w:bCs/>
          <w:lang w:val="ro-RO"/>
        </w:rPr>
        <w:t>8.-dispoziții tranzitorii în legătură cu aplicarea măsurilor dispuse în baza procedurii prevăzute de OPANAF nr.1984/12 iulie 2019.</w:t>
      </w:r>
    </w:p>
    <w:p>
      <w:pPr>
        <w:pStyle w:val="Normal"/>
        <w:spacing w:before="0" w:after="0"/>
        <w:jc w:val="both"/>
        <w:rPr>
          <w:rFonts w:ascii="Trebuchet MS" w:hAnsi="Trebuchet MS"/>
          <w:bCs/>
          <w:lang w:val="ro-RO"/>
        </w:rPr>
      </w:pPr>
      <w:r>
        <w:rPr>
          <w:rFonts w:ascii="Trebuchet MS" w:hAnsi="Trebuchet MS"/>
          <w:bCs/>
          <w:lang w:val="ro-RO"/>
        </w:rPr>
      </w:r>
    </w:p>
    <w:p>
      <w:pPr>
        <w:pStyle w:val="Normal"/>
        <w:spacing w:before="0" w:after="0"/>
        <w:jc w:val="both"/>
        <w:rPr>
          <w:rFonts w:ascii="Trebuchet MS" w:hAnsi="Trebuchet MS"/>
          <w:bCs/>
          <w:lang w:val="ro-RO"/>
        </w:rPr>
      </w:pPr>
      <w:r>
        <w:rPr/>
      </w:r>
    </w:p>
    <w:p>
      <w:pPr>
        <w:pStyle w:val="Normal"/>
        <w:spacing w:before="0" w:after="0"/>
        <w:jc w:val="both"/>
        <w:rPr>
          <w:rFonts w:ascii="Trebuchet MS" w:hAnsi="Trebuchet MS"/>
          <w:bCs/>
          <w:lang w:val="ro-RO"/>
        </w:rPr>
      </w:pPr>
      <w:r>
        <w:rPr>
          <w:rFonts w:ascii="Trebuchet MS" w:hAnsi="Trebuchet MS"/>
          <w:bCs/>
          <w:lang w:val="ro-RO"/>
        </w:rPr>
      </w:r>
    </w:p>
    <w:sectPr>
      <w:footerReference w:type="default" r:id="rId2"/>
      <w:type w:val="nextPage"/>
      <w:pgSz w:w="11906" w:h="16838"/>
      <w:pgMar w:left="1701" w:right="1138" w:gutter="0" w:header="0" w:top="851" w:footer="720" w:bottom="1526"/>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Segoe UI">
    <w:charset w:val="00"/>
    <w:family w:val="roman"/>
    <w:pitch w:val="variable"/>
  </w:font>
  <w:font w:name="Liberation Sans">
    <w:altName w:val="Arial"/>
    <w:charset w:val="00"/>
    <w:family w:val="roman"/>
    <w:pitch w:val="variable"/>
  </w:font>
  <w:font w:name="Trebuchet MS">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38731135"/>
    </w:sdtPr>
    <w:sdtContent>
      <w:p>
        <w:pPr>
          <w:pStyle w:val="Footer"/>
          <w:rPr/>
        </w:pPr>
        <w:r>
          <w:rPr/>
        </w:r>
      </w:p>
      <w:p>
        <w:pPr>
          <w:pStyle w:val="Footer"/>
          <w:rPr>
            <w:rFonts w:ascii="Trebuchet MS" w:hAnsi="Trebuchet MS"/>
          </w:rPr>
        </w:pPr>
        <w:r>
          <w:rPr>
            <w:rFonts w:eastAsia="Franklin Gothic Demi" w:cs="Arial" w:ascii="Trebuchet MS" w:hAnsi="Trebuchet MS"/>
            <w:b/>
            <w:bCs/>
            <w:color w:val="000000"/>
            <w:sz w:val="18"/>
            <w:szCs w:val="18"/>
            <w:lang w:val="ro-RO"/>
          </w:rPr>
          <w:t>Document care conține date cu caracter personal protejate de prevederile Regulamentului (UE) 2016/679</w:t>
        </w:r>
      </w:p>
      <w:p>
        <w:pPr>
          <w:pStyle w:val="Footer"/>
          <w:jc w:val="right"/>
          <w:rPr/>
        </w:pPr>
        <w:r>
          <w:rPr/>
          <w:t xml:space="preserve">Page </w:t>
        </w:r>
        <w:r>
          <w:rPr>
            <w:bCs/>
            <w:sz w:val="24"/>
            <w:szCs w:val="24"/>
          </w:rPr>
          <w:fldChar w:fldCharType="begin"/>
        </w:r>
        <w:r>
          <w:rPr>
            <w:sz w:val="24"/>
            <w:szCs w:val="24"/>
            <w:bCs/>
          </w:rPr>
          <w:instrText xml:space="preserve"> PAGE </w:instrText>
        </w:r>
        <w:r>
          <w:rPr>
            <w:sz w:val="24"/>
            <w:szCs w:val="24"/>
            <w:bCs/>
          </w:rPr>
          <w:fldChar w:fldCharType="separate"/>
        </w:r>
        <w:r>
          <w:rPr>
            <w:sz w:val="24"/>
            <w:szCs w:val="24"/>
            <w:bCs/>
          </w:rPr>
          <w:t>2</w:t>
        </w:r>
        <w:r>
          <w:rPr>
            <w:sz w:val="24"/>
            <w:szCs w:val="24"/>
            <w:bCs/>
          </w:rPr>
          <w:fldChar w:fldCharType="end"/>
        </w:r>
        <w:r>
          <w:rPr>
            <w:bCs/>
            <w:sz w:val="24"/>
            <w:szCs w:val="24"/>
          </w:rPr>
          <w:t>/</w:t>
        </w:r>
        <w:r>
          <w:rPr>
            <w:bCs/>
            <w:sz w:val="24"/>
            <w:szCs w:val="24"/>
          </w:rPr>
          <w:fldChar w:fldCharType="begin"/>
        </w:r>
        <w:r>
          <w:rPr>
            <w:sz w:val="24"/>
            <w:szCs w:val="24"/>
            <w:bCs/>
          </w:rPr>
          <w:instrText xml:space="preserve"> NUMPAGES </w:instrText>
        </w:r>
        <w:r>
          <w:rPr>
            <w:sz w:val="24"/>
            <w:szCs w:val="24"/>
            <w:bCs/>
          </w:rPr>
          <w:fldChar w:fldCharType="separate"/>
        </w:r>
        <w:r>
          <w:rPr>
            <w:sz w:val="24"/>
            <w:szCs w:val="24"/>
            <w:bCs/>
          </w:rPr>
          <w:t>2</w:t>
        </w:r>
        <w:r>
          <w:rPr>
            <w:sz w:val="24"/>
            <w:szCs w:val="24"/>
            <w:bCs/>
          </w:rPr>
          <w:fldChar w:fldCharType="end"/>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宋体"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lsdException w:name="footer" w:uiPriority="99" w:semiHidden="0"/>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lsdException w:name="Body Text" w:uiPriority="0" w:semiHidden="0" w:unhideWhenUsed="0"/>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qFormat="1"/>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bidi w:val="0"/>
      <w:spacing w:lineRule="auto" w:line="259" w:before="0" w:after="160"/>
      <w:jc w:val="left"/>
    </w:pPr>
    <w:rPr>
      <w:rFonts w:ascii="Calibri" w:hAnsi="Calibri" w:eastAsia="Calibri" w:cs="宋体"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FootnoteCharacters">
    <w:name w:val="Footnote Characters"/>
    <w:basedOn w:val="DefaultParagraphFont"/>
    <w:uiPriority w:val="99"/>
    <w:semiHidden/>
    <w:unhideWhenUsed/>
    <w:qFormat/>
    <w:rPr>
      <w:vertAlign w:val="superscript"/>
    </w:rPr>
  </w:style>
  <w:style w:type="character" w:styleId="FootnoteReference">
    <w:name w:val="Footnote Reference"/>
    <w:rPr>
      <w:vertAlign w:val="superscript"/>
    </w:rPr>
  </w:style>
  <w:style w:type="character" w:styleId="Hyperlink" w:customStyle="1">
    <w:name w:val="Hyperlink"/>
    <w:basedOn w:val="DefaultParagraphFont"/>
    <w:uiPriority w:val="99"/>
    <w:unhideWhenUsed/>
    <w:rPr>
      <w:color w:themeColor="hyperlink" w:val="0563C1"/>
      <w:u w:val="single"/>
      <w14:textFill>
        <w14:solidFill>
          <w14:schemeClr w14:val="hlink"/>
        </w14:solidFill>
      </w14:textFill>
    </w:rPr>
  </w:style>
  <w:style w:type="character" w:styleId="HeaderChar" w:customStyle="1">
    <w:name w:val="Header Char"/>
    <w:basedOn w:val="DefaultParagraphFont"/>
    <w:link w:val="Header"/>
    <w:uiPriority w:val="99"/>
    <w:qFormat/>
    <w:rPr/>
  </w:style>
  <w:style w:type="character" w:styleId="FooterChar" w:customStyle="1">
    <w:name w:val="Footer Char"/>
    <w:basedOn w:val="DefaultParagraphFont"/>
    <w:link w:val="Footer"/>
    <w:uiPriority w:val="99"/>
    <w:qFormat/>
    <w:rPr/>
  </w:style>
  <w:style w:type="character" w:styleId="FootnoteTextChar" w:customStyle="1">
    <w:name w:val="Footnote Text Char"/>
    <w:basedOn w:val="DefaultParagraphFont"/>
    <w:link w:val="FootnoteText"/>
    <w:uiPriority w:val="99"/>
    <w:semiHidden/>
    <w:qFormat/>
    <w:rPr>
      <w:szCs w:val="20"/>
    </w:rPr>
  </w:style>
  <w:style w:type="character" w:styleId="Spar3" w:customStyle="1">
    <w:name w:val="s_par3"/>
    <w:basedOn w:val="DefaultParagraphFont"/>
    <w:uiPriority w:val="0"/>
    <w:qFormat/>
    <w:rPr>
      <w:rFonts w:ascii="Verdana" w:hAnsi="Verdana"/>
      <w:color w:val="000000"/>
      <w:sz w:val="20"/>
      <w:szCs w:val="20"/>
      <w:shd w:fill="FFFFFF" w:val="clear"/>
    </w:rPr>
  </w:style>
  <w:style w:type="character" w:styleId="Slitbdy" w:customStyle="1">
    <w:name w:val="s_lit_bdy"/>
    <w:basedOn w:val="DefaultParagraphFont"/>
    <w:uiPriority w:val="0"/>
    <w:qFormat/>
    <w:rPr>
      <w:rFonts w:ascii="Verdana" w:hAnsi="Verdana"/>
      <w:color w:val="000000"/>
      <w:sz w:val="20"/>
      <w:szCs w:val="20"/>
      <w:shd w:fill="FFFFFF" w:val="clear"/>
    </w:rPr>
  </w:style>
  <w:style w:type="character" w:styleId="Slitttl1" w:customStyle="1">
    <w:name w:val="s_lit_ttl1"/>
    <w:basedOn w:val="DefaultParagraphFont"/>
    <w:uiPriority w:val="0"/>
    <w:qFormat/>
    <w:rPr>
      <w:rFonts w:ascii="Verdana" w:hAnsi="Verdana"/>
      <w:b/>
      <w:bCs/>
      <w:color w:val="8B0000"/>
      <w:sz w:val="20"/>
      <w:szCs w:val="20"/>
      <w:shd w:fill="FFFFFF" w:val="clear"/>
    </w:rPr>
  </w:style>
  <w:style w:type="character" w:styleId="Salnbdy" w:customStyle="1">
    <w:name w:val="s_aln_bdy"/>
    <w:basedOn w:val="DefaultParagraphFont"/>
    <w:uiPriority w:val="0"/>
    <w:qFormat/>
    <w:rPr>
      <w:rFonts w:ascii="Verdana" w:hAnsi="Verdana"/>
      <w:color w:val="000000"/>
      <w:sz w:val="20"/>
      <w:szCs w:val="20"/>
      <w:shd w:fill="FFFFFF" w:val="clear"/>
    </w:rPr>
  </w:style>
  <w:style w:type="character" w:styleId="Slgi1" w:customStyle="1">
    <w:name w:val="s_lgi1"/>
    <w:basedOn w:val="DefaultParagraphFont"/>
    <w:uiPriority w:val="0"/>
    <w:qFormat/>
    <w:rPr>
      <w:rFonts w:ascii="Verdana" w:hAnsi="Verdana"/>
      <w:color w:val="006400"/>
      <w:sz w:val="20"/>
      <w:szCs w:val="20"/>
      <w:u w:val="single"/>
      <w:shd w:fill="FFFFFF" w:val="clear"/>
    </w:rPr>
  </w:style>
  <w:style w:type="character" w:styleId="BalloonTextChar" w:customStyle="1">
    <w:name w:val="Balloon Text Char"/>
    <w:basedOn w:val="DefaultParagraphFont"/>
    <w:link w:val="BalloonText"/>
    <w:uiPriority w:val="99"/>
    <w:semiHidden/>
    <w:qFormat/>
    <w:rPr>
      <w:rFonts w:ascii="Segoe UI" w:hAnsi="Segoe UI" w:cs="Segoe UI"/>
      <w:sz w:val="18"/>
      <w:szCs w:val="18"/>
    </w:rPr>
  </w:style>
  <w:style w:type="paragraph" w:styleId="Heading" w:customStyle="1">
    <w:name w:val="Heading"/>
    <w:basedOn w:val="Normal"/>
    <w:next w:val="BodyText"/>
    <w:uiPriority w:val="0"/>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0"/>
    <w:pPr>
      <w:spacing w:lineRule="auto" w:line="276" w:before="0" w:after="140"/>
    </w:pPr>
    <w:rPr/>
  </w:style>
  <w:style w:type="paragraph" w:styleId="List">
    <w:name w:val="List"/>
    <w:basedOn w:val="BodyText"/>
    <w:uiPriority w:val="0"/>
    <w:pPr/>
    <w:rPr>
      <w:rFonts w:cs="Arial"/>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uiPriority w:val="0"/>
    <w:qFormat/>
    <w:pPr>
      <w:suppressLineNumbers/>
    </w:pPr>
    <w:rPr>
      <w:rFonts w:cs="Arial"/>
    </w:rPr>
  </w:style>
  <w:style w:type="paragraph" w:styleId="BalloonText">
    <w:name w:val="Balloon Text"/>
    <w:basedOn w:val="Normal"/>
    <w:link w:val="BalloonTextChar"/>
    <w:uiPriority w:val="99"/>
    <w:semiHidden/>
    <w:unhideWhenUsed/>
    <w:qFormat/>
    <w:pPr>
      <w:spacing w:lineRule="auto" w:line="240" w:before="0" w:after="0"/>
    </w:pPr>
    <w:rPr>
      <w:rFonts w:ascii="Segoe UI" w:hAnsi="Segoe UI" w:cs="Segoe UI"/>
      <w:sz w:val="18"/>
      <w:szCs w:val="18"/>
    </w:rPr>
  </w:style>
  <w:style w:type="paragraph" w:styleId="Caption1">
    <w:name w:val="caption1"/>
    <w:basedOn w:val="Normal"/>
    <w:next w:val="Normal"/>
    <w:uiPriority w:val="0"/>
    <w:qFormat/>
    <w:pPr>
      <w:suppressLineNumbers/>
      <w:spacing w:before="120" w:after="120"/>
    </w:pPr>
    <w:rPr>
      <w:rFonts w:cs="Arial"/>
      <w:i/>
      <w:iCs/>
      <w:sz w:val="24"/>
      <w:szCs w:val="24"/>
    </w:rPr>
  </w:style>
  <w:style w:type="paragraph" w:styleId="HeaderandFooter">
    <w:name w:val="Header and Footer"/>
    <w:basedOn w:val="Normal"/>
    <w:qFormat/>
    <w:pPr/>
    <w:rPr/>
  </w:style>
  <w:style w:type="paragraph" w:styleId="Footer">
    <w:name w:val="Footer"/>
    <w:basedOn w:val="Normal"/>
    <w:link w:val="FooterChar"/>
    <w:uiPriority w:val="99"/>
    <w:unhideWhenUsed/>
    <w:pPr>
      <w:tabs>
        <w:tab w:val="clear" w:pos="720"/>
        <w:tab w:val="center" w:pos="4680" w:leader="none"/>
        <w:tab w:val="right" w:pos="9360" w:leader="none"/>
      </w:tabs>
      <w:spacing w:lineRule="auto" w:line="240" w:before="0" w:after="0"/>
    </w:pPr>
    <w:rPr/>
  </w:style>
  <w:style w:type="paragraph" w:styleId="FootnoteText">
    <w:name w:val="Footnote Text"/>
    <w:basedOn w:val="Normal"/>
    <w:link w:val="FootnoteTextChar"/>
    <w:uiPriority w:val="99"/>
    <w:semiHidden/>
    <w:unhideWhenUsed/>
    <w:pPr>
      <w:spacing w:lineRule="auto" w:line="240" w:before="0" w:after="0"/>
    </w:pPr>
    <w:rPr>
      <w:sz w:val="20"/>
      <w:szCs w:val="20"/>
    </w:rPr>
  </w:style>
  <w:style w:type="paragraph" w:styleId="Header">
    <w:name w:val="Header"/>
    <w:basedOn w:val="Normal"/>
    <w:link w:val="HeaderChar"/>
    <w:uiPriority w:val="99"/>
    <w:unhideWhenUsed/>
    <w:pPr>
      <w:tabs>
        <w:tab w:val="clear" w:pos="720"/>
        <w:tab w:val="center" w:pos="4680" w:leader="none"/>
        <w:tab w:val="right" w:pos="9360" w:leader="none"/>
      </w:tabs>
      <w:spacing w:lineRule="auto" w:line="240" w:before="0" w:after="0"/>
    </w:pPr>
    <w:rPr/>
  </w:style>
  <w:style w:type="paragraph" w:styleId="CaracterCaracter" w:customStyle="1">
    <w:name w:val="Caracter Caracter"/>
    <w:basedOn w:val="Normal"/>
    <w:uiPriority w:val="0"/>
    <w:qFormat/>
    <w:pPr>
      <w:spacing w:lineRule="auto" w:line="240" w:before="0" w:after="0"/>
    </w:pPr>
    <w:rPr>
      <w:rFonts w:ascii="Times New Roman" w:hAnsi="Times New Roman" w:eastAsia="Times New Roman" w:cs="Times New Roman"/>
      <w:sz w:val="24"/>
      <w:szCs w:val="24"/>
      <w:lang w:val="pl-PL" w:eastAsia="pl-PL"/>
    </w:rPr>
  </w:style>
  <w:style w:type="paragraph" w:styleId="FrameContents" w:customStyle="1">
    <w:name w:val="Frame Contents"/>
    <w:basedOn w:val="Normal"/>
    <w:uiPriority w:val="0"/>
    <w:qFormat/>
    <w:pPr/>
    <w:rPr/>
  </w:style>
  <w:style w:type="paragraph" w:styleId="ListParagraph">
    <w:name w:val="List Paragraph"/>
    <w:basedOn w:val="Normal"/>
    <w:uiPriority w:val="34"/>
    <w:qFormat/>
    <w:pPr>
      <w:spacing w:before="0" w:after="160"/>
      <w:ind w:left="720"/>
      <w:contextualSpacing/>
    </w:pPr>
    <w:rPr/>
  </w:style>
  <w:style w:type="paragraph" w:styleId="Scapttl" w:customStyle="1">
    <w:name w:val="s_cap_ttl"/>
    <w:basedOn w:val="Normal"/>
    <w:uiPriority w:val="99"/>
    <w:semiHidden/>
    <w:qFormat/>
    <w:pPr>
      <w:jc w:val="center"/>
    </w:pPr>
    <w:rPr>
      <w:rFonts w:ascii="Verdana" w:hAnsi="Verdana" w:eastAsia="宋体" w:cs="Times New Roman" w:eastAsiaTheme="minorEastAsia"/>
      <w:b/>
      <w:bCs/>
      <w:color w:val="A52A2A"/>
      <w:sz w:val="24"/>
      <w:szCs w:val="24"/>
    </w:rPr>
  </w:style>
  <w:style w:type="paragraph" w:styleId="Scapden" w:customStyle="1">
    <w:name w:val="s_cap_den"/>
    <w:basedOn w:val="Normal"/>
    <w:uiPriority w:val="99"/>
    <w:semiHidden/>
    <w:qFormat/>
    <w:pPr>
      <w:jc w:val="center"/>
    </w:pPr>
    <w:rPr>
      <w:rFonts w:ascii="Verdana" w:hAnsi="Verdana" w:eastAsia="宋体" w:cs="Times New Roman" w:eastAsiaTheme="minorEastAsia"/>
      <w:b/>
      <w:bCs/>
      <w:color w:val="A52A2A"/>
      <w:sz w:val="24"/>
      <w:szCs w:val="24"/>
    </w:rPr>
  </w:style>
  <w:style w:type="paragraph" w:styleId="Spar" w:customStyle="1">
    <w:name w:val="s_par"/>
    <w:basedOn w:val="Normal"/>
    <w:uiPriority w:val="99"/>
    <w:semiHidden/>
    <w:qFormat/>
    <w:pPr>
      <w:ind w:left="225"/>
    </w:pPr>
    <w:rPr>
      <w:rFonts w:ascii="Times New Roman" w:hAnsi="Times New Roman" w:eastAsia="宋体" w:cs="Times New Roman" w:eastAsiaTheme="minorEastAsia"/>
      <w:sz w:val="24"/>
      <w:szCs w:val="24"/>
    </w:rPr>
  </w:style>
  <w:style w:type="table" w:default="1" w:styleId="3">
    <w:name w:val="Normal Table"/>
    <w:uiPriority w:val="99"/>
    <w:semiHidden/>
    <w:unhideWhenUsed/>
    <w:qFormat/>
    <w:tblPr>
      <w:tblCellMar>
        <w:top w:w="0" w:type="dxa"/>
        <w:left w:w="108" w:type="dxa"/>
        <w:bottom w:w="0" w:type="dxa"/>
        <w:right w:w="108" w:type="dxa"/>
      </w:tblCellMar>
    </w:tblPr>
  </w:style>
  <w:style w:type="table" w:styleId="13">
    <w:name w:val="Table Grid"/>
    <w:basedOn w:val="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8CE1B74-26BA-4EAF-B0F7-240FCF1EFEC5}">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Application>LibreOffice/7.6.5.2$Windows_X86_64 LibreOffice_project/38d5f62f85355c192ef5f1dd47c5c0c0c6d6598b</Application>
  <AppVersion>15.0000</AppVersion>
  <DocSecurity>0</DocSecurity>
  <Pages>2</Pages>
  <Words>589</Words>
  <Characters>4046</Characters>
  <CharactersWithSpaces>4614</CharactersWithSpaces>
  <Paragraphs>22</Paragraphs>
  <Company>Ministerul Finantelor Publice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2025-03-11T08:51:00Z</dcterms:created>
  <dc:creator>CRISTIAN-NICOLAE MARIN</dc:creator>
  <dc:description/>
  <dc:language>en-US</dc:language>
  <cp:lastModifiedBy/>
  <cp:lastPrinted>2025-03-11T09:07:00Z</cp:lastPrinted>
  <dcterms:modified xsi:type="dcterms:W3CDTF">2025-03-12T10:53:01Z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KSOProductBuildVer">
    <vt:lpwstr>1033-11.2.0.9937</vt:lpwstr>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ies>
</file>